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6.jpeg" ContentType="image/jpeg"/>
  <Override PartName="/word/media/image10.png" ContentType="image/png"/>
  <Override PartName="/word/media/image9.png" ContentType="image/png"/>
  <Override PartName="/word/media/image15.png" ContentType="image/png"/>
  <Override PartName="/word/media/image8.png" ContentType="image/png"/>
  <Override PartName="/word/media/image7.png" ContentType="image/png"/>
  <Override PartName="/word/media/image13.jpeg" ContentType="image/jpeg"/>
  <Override PartName="/word/media/image12.jpeg" ContentType="image/jpeg"/>
  <Override PartName="/word/media/image6.png" ContentType="image/png"/>
  <Override PartName="/word/media/image5.png" ContentType="image/png"/>
  <Override PartName="/word/media/image17.png" ContentType="image/png"/>
  <Override PartName="/word/media/image4.jpeg" ContentType="image/jpeg"/>
  <Override PartName="/word/media/image14.png" ContentType="image/png"/>
  <Override PartName="/word/media/image2.png" ContentType="image/png"/>
  <Override PartName="/word/media/image3.jpeg" ContentType="image/jpeg"/>
  <Override PartName="/word/media/image1.png" ContentType="image/png"/>
  <Override PartName="/word/media/image1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11.2pt;height:11.2pt" type="shapetype_75">
              <v:fill detectmouseclick="t" r:id="rId2"/>
              <v:wrap v:type="none"/>
              <v:stroke color="#3465af" endcap="flat" joinstyle="round"/>
            </v:shape>
          </w:pict>
        </w:rPr>
      </w:r>
      <w:r>
        <w:rPr>
          <w:pict>
            <v:shape id="shape_0" style="position:absolute;margin-left:0pt;margin-top:0pt;width:11.2pt;height:9.95pt" type="shapetype_75">
              <v:fill detectmouseclick="t" r:id="rId3"/>
              <v:wrap v:type="none"/>
              <v:stroke color="#3465af" endcap="flat" joinstyle="round"/>
            </v:shape>
          </w:pict>
        </w:rPr>
      </w:r>
      <w:r>
        <w:rPr>
          <w:rFonts w:ascii="Times New Roman" w:hAnsi="Times New Roman"/>
          <w:sz w:val="28"/>
          <w:szCs w:val="28"/>
        </w:rPr>
        <w:t>Муниципальное  казенное общеобразовательное учреждение</w:t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«Чернятинская СОШ №15»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HeinrichScript" w:hAnsi="HeinrichScript"/>
          <w:sz w:val="48"/>
          <w:szCs w:val="48"/>
        </w:rPr>
      </w:pPr>
      <w:r>
        <w:rPr>
          <w:rFonts w:ascii="HeinrichScript" w:hAnsi="HeinrichScript"/>
          <w:sz w:val="48"/>
          <w:szCs w:val="48"/>
        </w:rPr>
      </w:r>
    </w:p>
    <w:p>
      <w:pPr>
        <w:pStyle w:val="style0"/>
        <w:jc w:val="center"/>
        <w:rPr>
          <w:rFonts w:ascii="HeinrichScript" w:hAnsi="HeinrichScript"/>
          <w:sz w:val="48"/>
          <w:szCs w:val="48"/>
        </w:rPr>
      </w:pPr>
      <w:r>
        <w:rPr>
          <w:rFonts w:ascii="HeinrichScript" w:hAnsi="HeinrichScript"/>
          <w:sz w:val="48"/>
          <w:szCs w:val="48"/>
        </w:rPr>
      </w:r>
    </w:p>
    <w:p>
      <w:pPr>
        <w:pStyle w:val="style0"/>
        <w:jc w:val="center"/>
        <w:rPr>
          <w:rFonts w:ascii="HeinrichScript" w:hAnsi="HeinrichScript"/>
          <w:sz w:val="48"/>
          <w:szCs w:val="48"/>
        </w:rPr>
      </w:pPr>
      <w:r>
        <w:rPr>
          <w:rFonts w:ascii="HeinrichScript" w:hAnsi="HeinrichScript"/>
          <w:sz w:val="48"/>
          <w:szCs w:val="48"/>
        </w:rPr>
        <w:t xml:space="preserve">Рабочая программа по внеурочной деятельности учащихся начальной школы </w:t>
      </w:r>
    </w:p>
    <w:p>
      <w:pPr>
        <w:pStyle w:val="style0"/>
        <w:jc w:val="center"/>
        <w:rPr>
          <w:rFonts w:ascii="HeinrichScript" w:hAnsi="HeinrichScript"/>
          <w:b/>
          <w:color w:val="C00000"/>
          <w:sz w:val="56"/>
          <w:szCs w:val="56"/>
        </w:rPr>
      </w:pPr>
      <w:r>
        <w:rPr>
          <w:rFonts w:ascii="HeinrichScript" w:hAnsi="HeinrichScript"/>
          <w:b/>
          <w:color w:val="C00000"/>
          <w:sz w:val="56"/>
          <w:szCs w:val="56"/>
        </w:rPr>
        <w:t>«Здоровый ребёнок – успешный ребёнок»</w:t>
      </w:r>
    </w:p>
    <w:p>
      <w:pPr>
        <w:pStyle w:val="style0"/>
        <w:jc w:val="center"/>
        <w:rPr>
          <w:rFonts w:ascii="HeinrichScript" w:hAnsi="HeinrichScript"/>
          <w:sz w:val="44"/>
          <w:szCs w:val="44"/>
        </w:rPr>
      </w:pPr>
      <w:r>
        <w:rPr>
          <w:rFonts w:ascii="HeinrichScript" w:hAnsi="HeinrichScript"/>
          <w:sz w:val="44"/>
          <w:szCs w:val="44"/>
        </w:rPr>
        <w:t>Спортивно-оздоровительное направление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156585" cy="2186305"/>
            <wp:effectExtent b="0" l="0" r="0" t="0"/>
            <wp:docPr descr="1243583560_0370010228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1243583560_0370010228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style0"/>
        <w:spacing w:after="0" w:before="0"/>
        <w:contextualSpacing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составила:                 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              </w:t>
      </w:r>
    </w:p>
    <w:p>
      <w:pPr>
        <w:pStyle w:val="style0"/>
        <w:spacing w:after="0" w:before="0"/>
        <w:contextualSpacing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О. А.</w:t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2011-2015 гг.</w:t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Введение.</w:t>
      </w:r>
    </w:p>
    <w:p>
      <w:pPr>
        <w:pStyle w:val="style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школа с 2011-2012 учебного года  начинает работу по    внедрению федеральных государственных стандартов общего образования второго поколения (ФГОС). Обязательным компонентом 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 в рамках вариативной части образовательного плана.  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Нововведение будет способствовать  сохранению здоровья наших детей. В проекте «Гигиенических требований к условиям реализации в начальной школе» уже есть чётко сформулированный тезис: Организация занятий по разделу «Внеурочная деятельность» должна учитывать возрастные особенности учащихся и обеспечивать баланс между двигательно-активными и статическими занятиями 50% и 50%. Форма их проведения должна отличаться от урочной системы обучения. </w:t>
        <w:drawing>
          <wp:anchor allowOverlap="1" behindDoc="1" distB="0" distL="0" distR="0" distT="0" layoutInCell="1" locked="0" relativeHeight="6" simplePos="0">
            <wp:simplePos x="0" y="0"/>
            <wp:positionH relativeFrom="column">
              <wp:posOffset>3776345</wp:posOffset>
            </wp:positionH>
            <wp:positionV relativeFrom="paragraph">
              <wp:posOffset>100965</wp:posOffset>
            </wp:positionV>
            <wp:extent cx="2476500" cy="1933575"/>
            <wp:effectExtent b="0" l="0" r="0" t="0"/>
            <wp:wrapNone/>
            <wp:docPr descr="спорт1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спорт1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Спортивно-оздоровительное направление внеучебной деятельности занимает 10% отведённого оплачиваемого времени – 1 час  в неделю. Приобретаемые на уроках физической культуры знания умения и навыки должны в последующем закрепляться в системе самостоятельных форм физических упражнений: утренней зарядке, гимнастике до уроков, физкультминутках и подвижных играх во время перемен и во время прогулок, дополнительных занятий во внеурочное время. </w:t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-360045</wp:posOffset>
            </wp:positionH>
            <wp:positionV relativeFrom="paragraph">
              <wp:posOffset>-277495</wp:posOffset>
            </wp:positionV>
            <wp:extent cx="1762125" cy="1609725"/>
            <wp:effectExtent b="0" l="0" r="0" t="0"/>
            <wp:wrapNone/>
            <wp:docPr descr="509ad26d839f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509ad26d839f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обучения физической культуре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внеурочной деятельности по спортивно-оздоровительному направлению.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75"/>
        <w:gridCol w:w="2694"/>
        <w:gridCol w:w="4785"/>
      </w:tblGrid>
      <w:tr>
        <w:trPr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type="dxa" w:w="2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организации.</w:t>
            </w:r>
          </w:p>
        </w:tc>
      </w:tr>
      <w:tr>
        <w:trPr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type="dxa" w:w="2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половина учебного дня </w:t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зарядка,                                           физкультминутки во время уроков, динамические паузы во время перемен,                 уроки физкультуры.</w:t>
            </w:r>
          </w:p>
        </w:tc>
      </w:tr>
      <w:tr>
        <w:trPr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type="dxa" w:w="2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Прогулки, спортивно-оздоровительные часы,   физкультурные праздники, спортивные кружки подвижных, народных оздоровительных игр и пр.  </w:t>
            </w:r>
          </w:p>
        </w:tc>
      </w:tr>
      <w:tr>
        <w:trPr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type="dxa" w:w="2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учебного дня.                 Выходные.</w:t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Прогулки, совместно со взрослыми или самостоятельная двигательная деятельность.</w:t>
            </w:r>
          </w:p>
        </w:tc>
      </w:tr>
      <w:tr>
        <w:trPr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образования.</w:t>
            </w:r>
          </w:p>
        </w:tc>
        <w:tc>
          <w:tcPr>
            <w:tcW w:type="dxa" w:w="2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учебного дня.                 Выходные.</w:t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Детские спортивные секции и школы.</w:t>
              <w:drawing>
                <wp:anchor allowOverlap="1" behindDoc="1" distB="0" distL="0" distR="0" distT="0" layoutInCell="1" locked="0" relativeHeight="1" simplePos="0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253365</wp:posOffset>
                  </wp:positionV>
                  <wp:extent cx="2075815" cy="1371600"/>
                  <wp:effectExtent b="0" l="0" r="0" t="0"/>
                  <wp:wrapNone/>
                  <wp:docPr descr="ED0541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ED0541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Оздоровительные лагеря.</w:t>
            </w:r>
          </w:p>
        </w:tc>
        <w:tc>
          <w:tcPr>
            <w:tcW w:type="dxa" w:w="2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Каникулы.</w:t>
            </w:r>
          </w:p>
        </w:tc>
        <w:tc>
          <w:tcPr>
            <w:tcW w:type="dxa" w:w="4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виды спортивно-оздоровительной деятельности в соответствии с программой  работы лагеря.</w:t>
            </w:r>
          </w:p>
        </w:tc>
      </w:tr>
    </w:tbl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 Рекомендуется регулярно проводить спортивные соревнования и показательные выступления в каждой возрастной группе.</w:t>
        <w:drawing>
          <wp:anchor allowOverlap="1" behindDoc="1" distB="0" distL="0" distR="0" distT="0" layoutInCell="1" locked="0" relativeHeight="7" simplePos="0">
            <wp:simplePos x="0" y="0"/>
            <wp:positionH relativeFrom="column">
              <wp:posOffset>-214630</wp:posOffset>
            </wp:positionH>
            <wp:positionV relativeFrom="paragraph">
              <wp:posOffset>-130175</wp:posOffset>
            </wp:positionV>
            <wp:extent cx="1618615" cy="1457325"/>
            <wp:effectExtent b="0" l="0" r="0" t="0"/>
            <wp:wrapNone/>
            <wp:docPr descr="293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293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полной реализации спортивно-оздоровительного направления внеурочной деятельности учащихся особое внимание требуется уделять и проблеме воспитания культуры здоровья у младших школьников. Внеурочная деятельность может включать в себя выполнение общественной нагрузки, культурный и активный отдых на основе оздоровительных мероприятий. Можно проводить данную работу и в учебные дни с меньшим числом учебных занятий, а также во время выходных дней и в каникулы.</w:t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воспитания культуры здоровья младших школьников.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59"/>
        <w:gridCol w:w="7194"/>
      </w:tblGrid>
      <w:tr>
        <w:trPr>
          <w:cantSplit w:val="false"/>
        </w:trPr>
        <w:tc>
          <w:tcPr>
            <w:tcW w:type="dxa" w:w="26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type="dxa" w:w="71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</w:tr>
      <w:tr>
        <w:trPr>
          <w:cantSplit w:val="false"/>
        </w:trPr>
        <w:tc>
          <w:tcPr>
            <w:tcW w:type="dxa" w:w="26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формирования сознания.</w:t>
            </w:r>
          </w:p>
        </w:tc>
        <w:tc>
          <w:tcPr>
            <w:tcW w:type="dxa" w:w="71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Классные часы, их проведение и тематика в соответствии с планом воспитательной работы;                                                                                         - Беседы и диспуты с классом или индивидуально; читательские конференции;                                                                                                             - Мини-лекции как самостоятельная работа, продолжительность которых не более 10 – 15 мин.; </w:t>
            </w:r>
          </w:p>
        </w:tc>
      </w:tr>
      <w:tr>
        <w:trPr>
          <w:cantSplit w:val="false"/>
        </w:trPr>
        <w:tc>
          <w:tcPr>
            <w:tcW w:type="dxa" w:w="26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организации деятельности и формирования опыта поведения.</w:t>
            </w:r>
          </w:p>
        </w:tc>
        <w:tc>
          <w:tcPr>
            <w:tcW w:type="dxa" w:w="71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Педагогическое требование к выполнению норм поведения, правил по организации здорового образа жизни в виде просьб, совета, намёков;                                           - Приучение и упражнение, содействующее формированию устойчивых способов поведения, привычек здорового образа жизни;                                                            - Регулярное участие в спортивных и оздоровительных мероприятиях;                                                                          - Тренинги для изменения негативных внутренних установок обучающихся (в том числе и к наркотизации), формирование опыта позитивного отношения к себе, к окружающим, к миру в целом;                                                             - Круглый стол – данную форму можно применить для формирования чётких позиций, оценочных суждений в отношении тех или иных представлений о здоровом образе жизни.</w:t>
              <w:drawing>
                <wp:anchor allowOverlap="1" behindDoc="1" distB="0" distL="0" distR="0" distT="0" layoutInCell="1" locked="0" relativeHeight="2" simplePos="0">
                  <wp:simplePos x="0" y="0"/>
                  <wp:positionH relativeFrom="column">
                    <wp:posOffset>3068320</wp:posOffset>
                  </wp:positionH>
                  <wp:positionV relativeFrom="paragraph">
                    <wp:posOffset>2811780</wp:posOffset>
                  </wp:positionV>
                  <wp:extent cx="1618615" cy="1161415"/>
                  <wp:effectExtent b="0" l="0" r="0" t="0"/>
                  <wp:wrapNone/>
                  <wp:docPr descr="294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294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false"/>
        </w:trPr>
        <w:tc>
          <w:tcPr>
            <w:tcW w:type="dxa" w:w="26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стимулирования  поведения и деятельности.</w:t>
            </w:r>
          </w:p>
        </w:tc>
        <w:tc>
          <w:tcPr>
            <w:tcW w:type="dxa" w:w="71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Поощрения в различных вариантах: одобрение, похвала, благодарность, предоставление почётных прав, награждение;                                                                                      - Наказание состоит в лишении или ограничении определённых прав, в выражении морального порицания, осуждения.</w:t>
            </w:r>
          </w:p>
        </w:tc>
      </w:tr>
      <w:tr>
        <w:trPr>
          <w:cantSplit w:val="false"/>
        </w:trPr>
        <w:tc>
          <w:tcPr>
            <w:tcW w:type="dxa" w:w="26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проектов.</w:t>
            </w:r>
          </w:p>
        </w:tc>
        <w:tc>
          <w:tcPr>
            <w:tcW w:type="dxa" w:w="71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80" w:before="28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Исследовательские проекты (организация опроса среди сверстников для изучения вредных привычек в начальной школе);                                                                                                 - Творческие проекты – санитарные бюллетени о здоровом образе жизни.</w:t>
            </w:r>
          </w:p>
        </w:tc>
      </w:tr>
    </w:tbl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рассчитана на учащихся 1-4 классов  </w:t>
      </w:r>
    </w:p>
    <w:p>
      <w:pPr>
        <w:pStyle w:val="style0"/>
        <w:spacing w:after="0" w:before="0"/>
        <w:contextualSpacing w:val="fals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Срок реализации программы 4 года .</w:t>
      </w:r>
    </w:p>
    <w:p>
      <w:pPr>
        <w:pStyle w:val="style0"/>
        <w:spacing w:after="0" w:before="0"/>
        <w:ind w:firstLine="993" w:left="0" w:right="0"/>
        <w:contextualSpacing w:val="false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</w:r>
    </w:p>
    <w:p>
      <w:pPr>
        <w:pStyle w:val="style0"/>
        <w:spacing w:after="0" w:before="0"/>
        <w:contextualSpacing w:val="fals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Возраст обучающихся: 6,5-11 лет .                                            </w:t>
      </w:r>
    </w:p>
    <w:p>
      <w:pPr>
        <w:pStyle w:val="style0"/>
        <w:spacing w:after="0" w:before="0"/>
        <w:ind w:firstLine="993" w:left="0" w:right="0"/>
        <w:contextualSpacing w:val="fals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0" w:before="280" w:line="100" w:lineRule="atLeast"/>
        <w:ind w:firstLine="708" w:left="0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>
      <w:pPr>
        <w:pStyle w:val="style0"/>
        <w:spacing w:after="0" w:before="0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начальной школы. 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привычки к здоровому образу жизни младших школьников необходима совместная работа педагога с родителями, психологической и медицинской службой, администрацией школы.</w:t>
      </w:r>
    </w:p>
    <w:p>
      <w:pPr>
        <w:pStyle w:val="style0"/>
        <w:spacing w:line="100" w:lineRule="atLeast"/>
        <w:ind w:firstLine="709" w:left="0" w:right="0"/>
        <w:jc w:val="both"/>
        <w:rPr>
          <w:pict>
            <v:group coordorigin="0,0" coordsize="6555,7288" id="shape_0" style="position:absolute;margin-left:0pt;margin-top:0pt;width:327.75pt;height:364.4pt">
              <v:group id="shape_0" style="position:absolute;left:0;top:0;width:6555;height:7288"/>
            </v:group>
          </w:pict>
        </w:rPr>
      </w:pPr>
      <w:r>
        <w:rPr>
          <w:pict>
            <v:group coordorigin="0,0" coordsize="6555,7288" id="shape_0" style="position:absolute;margin-left:0pt;margin-top:0pt;width:327.75pt;height:364.4pt">
              <v:group id="shape_0" style="position:absolute;left:0;top:0;width:6555;height:7288"/>
            </v:group>
          </w:pict>
        </w:rPr>
      </w:r>
    </w:p>
    <w:p>
      <w:pPr>
        <w:pStyle w:val="style28"/>
        <w:ind w:firstLine="709" w:left="0" w:right="0"/>
        <w:rPr>
          <w:szCs w:val="28"/>
        </w:rPr>
      </w:pPr>
      <w:r>
        <w:rPr>
          <w:szCs w:val="28"/>
        </w:rPr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школе.</w:t>
      </w:r>
    </w:p>
    <w:p>
      <w:pPr>
        <w:pStyle w:val="style28"/>
        <w:ind w:firstLine="709" w:left="0" w:right="0"/>
        <w:rPr>
          <w:szCs w:val="28"/>
        </w:rPr>
      </w:pPr>
      <w:r>
        <w:rPr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sz w:val="28"/>
          <w:szCs w:val="28"/>
        </w:rPr>
      </w:pPr>
      <w:r>
        <w:rPr/>
        <w:drawing>
          <wp:inline distB="0" distL="0" distR="0" distT="0">
            <wp:extent cx="2600325" cy="2329815"/>
            <wp:effectExtent b="0" l="0" r="0" t="0"/>
            <wp:docPr descr="ED0692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ED0692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>
      <w:pPr>
        <w:pStyle w:val="style0"/>
        <w:spacing w:line="360" w:lineRule="auto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drawing>
          <wp:anchor allowOverlap="1" behindDoc="1" distB="0" distL="0" distR="0" distT="0" layoutInCell="1" locked="0" relativeHeight="9" simplePos="0">
            <wp:simplePos x="0" y="0"/>
            <wp:positionH relativeFrom="column">
              <wp:posOffset>-257810</wp:posOffset>
            </wp:positionH>
            <wp:positionV relativeFrom="paragraph">
              <wp:posOffset>-161290</wp:posOffset>
            </wp:positionV>
            <wp:extent cx="1350010" cy="1350010"/>
            <wp:effectExtent b="0" l="0" r="0" t="0"/>
            <wp:wrapNone/>
            <wp:docPr descr="284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284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10" simplePos="0">
            <wp:simplePos x="0" y="0"/>
            <wp:positionH relativeFrom="column">
              <wp:posOffset>4757420</wp:posOffset>
            </wp:positionH>
            <wp:positionV relativeFrom="paragraph">
              <wp:posOffset>-177165</wp:posOffset>
            </wp:positionV>
            <wp:extent cx="1365885" cy="1365885"/>
            <wp:effectExtent b="0" l="0" r="0" t="0"/>
            <wp:wrapNone/>
            <wp:docPr descr="283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283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программы:</w:t>
      </w:r>
    </w:p>
    <w:p>
      <w:pPr>
        <w:pStyle w:val="style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style0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здорового жизненного стиля и реализация индивидуальных способностей каждого ученика. </w:t>
      </w:r>
    </w:p>
    <w:p>
      <w:pPr>
        <w:pStyle w:val="style0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вредных привычек.</w:t>
      </w:r>
    </w:p>
    <w:p>
      <w:pPr>
        <w:pStyle w:val="style0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>
      <w:pPr>
        <w:pStyle w:val="style0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школьников в области физической культуры и спорта.</w:t>
      </w:r>
    </w:p>
    <w:p>
      <w:pPr>
        <w:pStyle w:val="style0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мотивационной сферы гигиенического поведения, безопасной жизни.</w:t>
      </w:r>
    </w:p>
    <w:p>
      <w:pPr>
        <w:pStyle w:val="style0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родителей в вопросах сохранения здоровья детей.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Arial" w:cs="Arial" w:hAnsi="Arial"/>
          <w:sz w:val="20"/>
          <w:szCs w:val="20"/>
          <w:pict>
            <v:group coordorigin="2264,137827" coordsize="4685,325" id="shape_0" style="position:absolute;margin-left:113.2pt;margin-top:6891.35pt;width:234.25pt;height:16.25pt">
              <v:group id="shape_0" style="position:absolute;left:2264;top:137827;width:4685;height:325">
                <v:group id="shape_0" style="position:absolute;left:2264;top:137827;width:4685;height:325">
                  <v:group id="shape_0" style="position:absolute;left:2264;top:137827;width:2312;height:325"/>
                  <v:group id="shape_0" style="position:absolute;left:2264;top:137827;width:4685;height:325">
                    <v:group id="shape_0" style="position:absolute;left:2264;top:137827;width:4685;height:325"/>
                  </v:group>
                  <v:group id="shape_0" style="position:absolute;left:2264;top:137827;width:2834;height:325">
                    <v:group id="shape_0" style="position:absolute;left:2264;top:137827;width:2834;height:325"/>
                  </v:group>
                </v:group>
              </v:group>
            </v:group>
          </w:pict>
        </w:rPr>
      </w:pPr>
      <w:r>
        <w:rPr>
          <w:rFonts w:ascii="Arial" w:cs="Arial" w:hAnsi="Arial"/>
          <w:sz w:val="20"/>
          <w:szCs w:val="20"/>
        </w:rPr>
        <w:t xml:space="preserve">                                            </w:t>
      </w:r>
      <w:r>
        <w:rPr>
          <w:rFonts w:ascii="Arial" w:cs="Arial" w:hAnsi="Arial"/>
          <w:sz w:val="20"/>
          <w:szCs w:val="20"/>
          <w:pict>
            <v:group coordorigin="2264,137827" coordsize="4685,325" id="shape_0" style="position:absolute;margin-left:113.2pt;margin-top:6891.35pt;width:234.25pt;height:16.25pt">
              <v:group id="shape_0" style="position:absolute;left:2264;top:137827;width:4685;height:325">
                <v:group id="shape_0" style="position:absolute;left:2264;top:137827;width:4685;height:325">
                  <v:group id="shape_0" style="position:absolute;left:2264;top:137827;width:2312;height:325"/>
                  <v:group id="shape_0" style="position:absolute;left:2264;top:137827;width:4685;height:325">
                    <v:group id="shape_0" style="position:absolute;left:2264;top:137827;width:4685;height:325"/>
                  </v:group>
                  <v:group id="shape_0" style="position:absolute;left:2264;top:137827;width:2834;height:325">
                    <v:group id="shape_0" style="position:absolute;left:2264;top:137827;width:2834;height:325"/>
                  </v:group>
                </v:group>
              </v:group>
            </v:group>
          </w:pict>
        </w:rPr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реализации программы:</w:t>
        <w:drawing>
          <wp:anchor allowOverlap="1" behindDoc="1" distB="0" distL="0" distR="0" distT="0" layoutInCell="1" locked="0" relativeHeight="8" simplePos="0">
            <wp:simplePos x="0" y="0"/>
            <wp:positionH relativeFrom="column">
              <wp:posOffset>-243205</wp:posOffset>
            </wp:positionH>
            <wp:positionV relativeFrom="paragraph">
              <wp:posOffset>-327660</wp:posOffset>
            </wp:positionV>
            <wp:extent cx="1533525" cy="1349375"/>
            <wp:effectExtent b="0" l="0" r="0" t="0"/>
            <wp:wrapNone/>
            <wp:docPr descr="спорт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спорт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</w:t>
      </w:r>
      <w:r>
        <w:rPr>
          <w:rFonts w:ascii="Times New Roman" w:hAnsi="Times New Roman"/>
          <w:sz w:val="28"/>
          <w:szCs w:val="28"/>
        </w:rPr>
        <w:t>организация и проведение инструктажа по технике безопасности в разных ситуациях;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организация и проведение динамических прогулок  и игр на свежем воздухе в любое время года;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активное использование спортивных площадок населённого пункта (футбольная, баскетбольная, волейбольная, хоккейная коробка)  в рамках работы программы</w:t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проведение мероприятий, направленных на профилактику вредных привычек;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санитарно-гигиеническая работа по организации жизнедеятельности детей в школе;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организация питания учащихся;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проведение совместных мероприятий с родителями и детьми,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организация и проведение в классе мероприятий по профилактике детского травматизма на дорогах;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организация и проведение профилактической работы с родителями;</w:t>
        <w:drawing>
          <wp:anchor allowOverlap="1" behindDoc="1" distB="0" distL="0" distR="0" distT="0" layoutInCell="1" locked="0" relativeHeight="5" simplePos="0">
            <wp:simplePos x="0" y="0"/>
            <wp:positionH relativeFrom="column">
              <wp:posOffset>4309745</wp:posOffset>
            </wp:positionH>
            <wp:positionV relativeFrom="paragraph">
              <wp:posOffset>401320</wp:posOffset>
            </wp:positionV>
            <wp:extent cx="1962150" cy="1962150"/>
            <wp:effectExtent b="0" l="0" r="0" t="0"/>
            <wp:wrapNone/>
            <wp:docPr descr="407mo7-e9x[1]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407mo7-e9x[1]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организация встреч родителей с медицинскими работниками;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организация и проведение исследований уровня физического и психофизического здоровья учащихся;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-109855</wp:posOffset>
            </wp:positionH>
            <wp:positionV relativeFrom="paragraph">
              <wp:posOffset>-515620</wp:posOffset>
            </wp:positionV>
            <wp:extent cx="1618615" cy="1657350"/>
            <wp:effectExtent b="0" l="0" r="0" t="0"/>
            <wp:wrapNone/>
            <wp:docPr descr="286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286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 научить ребёнка чистить зубы утром и вечером, делать зарядку и есть здоровую пищу. Надо, чтобы уже с раннего возраста он учился любви к себе, к людям. К жизни. Только человек, живущий в гармонии с собой и с миром, будет действительно здоров.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занятие должно приносить детям чувство удовлетворения, лёгкости и радости. </w:t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3194685</wp:posOffset>
            </wp:positionH>
            <wp:positionV relativeFrom="paragraph">
              <wp:posOffset>338455</wp:posOffset>
            </wp:positionV>
            <wp:extent cx="2971800" cy="3388995"/>
            <wp:effectExtent b="0" l="0" r="0" t="0"/>
            <wp:wrapNone/>
            <wp:docPr descr="285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285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Результатом практической деятельности по программе </w:t>
      </w:r>
    </w:p>
    <w:p>
      <w:pPr>
        <w:pStyle w:val="style0"/>
        <w:spacing w:after="0" w:before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«Здоровый ребёнок – успешный ребёнок» можно считать следующее:</w:t>
      </w:r>
    </w:p>
    <w:p>
      <w:pPr>
        <w:pStyle w:val="style28"/>
        <w:spacing w:line="360" w:lineRule="auto"/>
        <w:ind w:firstLine="709" w:left="0" w:right="0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szCs w:val="28"/>
        </w:rPr>
      </w:pPr>
      <w:r>
        <w:rPr>
          <w:szCs w:val="28"/>
        </w:rPr>
        <w:t>Высокий уровень информированности учащихся о здоровом образе жизни.</w:t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szCs w:val="28"/>
        </w:rPr>
      </w:pPr>
      <w:r>
        <w:rPr>
          <w:szCs w:val="28"/>
        </w:rPr>
        <w:t>Среди учащихся начальных классов нет курящих детей.</w:t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szCs w:val="28"/>
        </w:rPr>
      </w:pPr>
      <w:r>
        <w:rPr>
          <w:szCs w:val="28"/>
        </w:rPr>
        <w:t xml:space="preserve">Повышается активность учащихся в мероприятиях школы, класса, района. </w:t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szCs w:val="28"/>
        </w:rPr>
      </w:pPr>
      <w:r>
        <w:rPr>
          <w:szCs w:val="28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szCs w:val="28"/>
        </w:rPr>
      </w:pPr>
      <w:r>
        <w:rPr>
          <w:szCs w:val="28"/>
        </w:rPr>
        <w:t>Классный руководитель  координирует проектную работу учащихся, направленную сбор и оформление информации по темам укрепления здоровья. Результаты представляем на  классных часах и внеклассных мероприятиях начальных классов школы.</w:t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bCs/>
          <w:szCs w:val="28"/>
        </w:rPr>
      </w:pPr>
      <w:r>
        <w:rPr>
          <w:bCs/>
          <w:szCs w:val="28"/>
        </w:rPr>
        <w:t>Высокий уровень активности родителей по вопросам сохранения здоровья.</w:t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bCs/>
          <w:szCs w:val="28"/>
        </w:rPr>
      </w:pPr>
      <w:r>
        <w:rPr>
          <w:bCs/>
          <w:szCs w:val="28"/>
        </w:rPr>
        <w:t>Намечены преемственные связи в содержании и методах воспитания в начальной школе и первого этапа воспитания в основной школе.</w:t>
      </w:r>
    </w:p>
    <w:p>
      <w:pPr>
        <w:pStyle w:val="style28"/>
        <w:numPr>
          <w:ilvl w:val="0"/>
          <w:numId w:val="3"/>
        </w:numPr>
        <w:spacing w:line="360" w:lineRule="auto"/>
        <w:ind w:hanging="360" w:left="0" w:right="0"/>
        <w:rPr>
          <w:bCs/>
          <w:szCs w:val="28"/>
        </w:rPr>
      </w:pPr>
      <w:r>
        <w:rPr>
          <w:bCs/>
          <w:szCs w:val="28"/>
        </w:rPr>
        <w:t xml:space="preserve">90% учащихся класса заняты во внеурочной деятельности дополнительного образования. </w:t>
      </w:r>
    </w:p>
    <w:p>
      <w:pPr>
        <w:pStyle w:val="style28"/>
        <w:spacing w:line="360" w:lineRule="auto"/>
        <w:ind w:hanging="0" w:left="709" w:right="0"/>
        <w:rPr/>
      </w:pPr>
      <w:r>
        <w:rPr/>
        <w:drawing>
          <wp:inline distB="0" distL="0" distR="0" distT="0">
            <wp:extent cx="4230370" cy="2734945"/>
            <wp:effectExtent b="0" l="0" r="0" t="0"/>
            <wp:docPr descr="1212322932_untitled2"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1212322932_untitled2" id="13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spacing w:line="360" w:lineRule="auto"/>
        <w:ind w:hanging="0" w:left="709" w:right="0"/>
        <w:rPr>
          <w:b/>
          <w:szCs w:val="28"/>
        </w:rPr>
      </w:pPr>
      <w:r>
        <w:rPr>
          <w:b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>
      <w:pPr>
        <w:pStyle w:val="style0"/>
        <w:spacing w:line="360" w:lineRule="auto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713480" cy="3283585"/>
            <wp:effectExtent b="0" l="0" r="0" t="0"/>
            <wp:docPr descr=""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4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  Примерные программы начального образования. – «Просвещение»,  Москва,  2009.</w:t>
        <w:tab/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 Планируемые результаты начального общего  образования. – «Просвещение»,  Москва.  2009.</w:t>
        <w:tab/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журнал «Учительская»  ИРО-РТ , июль 2009.</w:t>
        <w:tab/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 «Уроки тётушки Совы»  -  ТО  «Маски»,  Москва, 2009.</w:t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 «Азбука безопасности на дороге»  -  ТО  «Маски»,  Москва, 2009.</w:t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«Воспитательная работа в начальной школе» - С.В.  Кульневич, Т.П. Лакоценина,  ТЦ «Учитель», Воронеж. 2006.</w:t>
        <w:tab/>
        <w:tab/>
        <w:tab/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себя вести» - В.Волина . «Дидактика плюс2, Санкт-Петербург 2004.</w:t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«365 уроков безопасности» Л.Логинова айрис Пресс. Москва. 2000.</w:t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«Сценарии праздников для детей и взрослых. Подвижные игры – Мир Книги,  Москва. 2003.</w:t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иду на урок» - Хрестоматия игровых приёмов обучения. «Первое сентября», Москва ,2000. </w:t>
      </w:r>
    </w:p>
    <w:p>
      <w:pPr>
        <w:pStyle w:val="style0"/>
        <w:numPr>
          <w:ilvl w:val="0"/>
          <w:numId w:val="4"/>
        </w:numPr>
        <w:spacing w:after="280" w:before="28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 цвета, кроме чёрного» - организация педагогической профилактики наркотизма среди младших школьников. «Вентана – Граф», Москва, 2002.  </w:t>
      </w:r>
    </w:p>
    <w:p>
      <w:pPr>
        <w:pStyle w:val="style0"/>
        <w:ind w:hanging="0" w:left="36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style0"/>
        <w:ind w:hanging="0" w:left="360" w:right="0"/>
        <w:jc w:val="center"/>
        <w:rPr/>
      </w:pPr>
      <w:r>
        <w:rPr/>
      </w:r>
    </w:p>
    <w:sectPr>
      <w:footerReference r:id="rId19" w:type="default"/>
      <w:type w:val="nextPage"/>
      <w:pgSz w:h="16838" w:w="11906"/>
      <w:pgMar w:bottom="766" w:footer="709" w:gutter="0" w:header="0" w:left="567" w:right="567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HeinrichScript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1429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2520"/>
      </w:pPr>
      <w:rPr>
        <w:rFonts w:ascii="Wingdings" w:cs="Wingdings" w:hAnsi="Wingdings" w:hint="default"/>
      </w:rPr>
    </w:lvl>
    <w:lvl w:ilvl="1">
      <w:start w:val="1"/>
      <w:numFmt w:val="decimal"/>
      <w:lvlText w:val="%2"/>
      <w:lvlJc w:val="left"/>
      <w:pPr>
        <w:ind w:hanging="360" w:left="1440"/>
      </w:pPr>
      <w:rPr/>
    </w:lvl>
    <w:lvl w:ilvl="2">
      <w:start w:val="1"/>
      <w:numFmt w:val="decimal"/>
      <w:lvlText w:val="%3"/>
      <w:lvlJc w:val="left"/>
      <w:pPr>
        <w:ind w:hanging="360" w:left="2160"/>
      </w:pPr>
      <w:rPr/>
    </w:lvl>
    <w:lvl w:ilvl="3">
      <w:start w:val="1"/>
      <w:numFmt w:val="decimal"/>
      <w:lvlText w:val="%4"/>
      <w:lvlJc w:val="left"/>
      <w:pPr>
        <w:ind w:hanging="360" w:left="2880"/>
      </w:pPr>
      <w:rPr/>
    </w:lvl>
    <w:lvl w:ilvl="4">
      <w:start w:val="1"/>
      <w:numFmt w:val="decimal"/>
      <w:lvlText w:val="%5"/>
      <w:lvlJc w:val="left"/>
      <w:pPr>
        <w:ind w:hanging="360" w:left="3600"/>
      </w:pPr>
      <w:rPr/>
    </w:lvl>
    <w:lvl w:ilvl="5">
      <w:start w:val="1"/>
      <w:numFmt w:val="decimal"/>
      <w:lvlText w:val="%6"/>
      <w:lvlJc w:val="left"/>
      <w:pPr>
        <w:ind w:hanging="360" w:left="4320"/>
      </w:pPr>
      <w:rPr/>
    </w:lvl>
    <w:lvl w:ilvl="6">
      <w:start w:val="1"/>
      <w:numFmt w:val="decimal"/>
      <w:lvlText w:val="%7"/>
      <w:lvlJc w:val="left"/>
      <w:pPr>
        <w:ind w:hanging="360" w:left="5040"/>
      </w:pPr>
      <w:rPr/>
    </w:lvl>
    <w:lvl w:ilvl="7">
      <w:start w:val="1"/>
      <w:numFmt w:val="decimal"/>
      <w:lvlText w:val="%8"/>
      <w:lvlJc w:val="left"/>
      <w:pPr>
        <w:ind w:hanging="360" w:left="5760"/>
      </w:pPr>
      <w:rPr/>
    </w:lvl>
    <w:lvl w:ilvl="8">
      <w:start w:val="1"/>
      <w:numFmt w:val="decimal"/>
      <w:lvlText w:val="%9"/>
      <w:lvlJc w:val="left"/>
      <w:pPr>
        <w:ind w:hanging="360" w:left="6480"/>
      </w:pPr>
      <w:rPr/>
    </w:lvl>
  </w:abstractNum>
  <w:abstractNum w:abstractNumId="4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ижний колонтитул Знак"/>
    <w:basedOn w:val="style15"/>
    <w:next w:val="style16"/>
    <w:rPr>
      <w:rFonts w:ascii="Calibri" w:cs="Times New Roman" w:eastAsia="Times New Roman" w:hAnsi="Calibri"/>
      <w:lang w:eastAsia="ru-RU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28"/>
      <w:szCs w:val="24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eastAsia="ru-RU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Times New Roman"/>
    </w:rPr>
  </w:style>
  <w:style w:styleId="style21" w:type="character">
    <w:name w:val="ListLabel 3"/>
    <w:next w:val="style21"/>
    <w:rPr>
      <w:color w:val="00000A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Основной текст с отступом"/>
    <w:basedOn w:val="style0"/>
    <w:next w:val="style28"/>
    <w:pPr>
      <w:spacing w:after="0" w:before="0" w:line="100" w:lineRule="atLeast"/>
      <w:ind w:firstLine="1080" w:left="0" w:right="0"/>
      <w:contextualSpacing w:val="false"/>
      <w:jc w:val="both"/>
    </w:pPr>
    <w:rPr>
      <w:rFonts w:ascii="Times New Roman" w:hAnsi="Times New Roman"/>
      <w:sz w:val="28"/>
      <w:szCs w:val="24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2013-11-26T16:20:00Z</dcterms:created>
  <dc:creator>ПК</dc:creator>
  <cp:lastModifiedBy>ПК</cp:lastModifiedBy>
  <dcterms:modified xsi:type="dcterms:W3CDTF">2013-11-26T17:07:00Z</dcterms:modified>
  <cp:revision>2</cp:revision>
</cp:coreProperties>
</file>