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F" w:rsidRPr="00A3210F" w:rsidRDefault="00A3210F" w:rsidP="00A3210F">
      <w:pPr>
        <w:shd w:val="clear" w:color="auto" w:fill="FFFFFF"/>
        <w:spacing w:after="105" w:line="240" w:lineRule="auto"/>
        <w:outlineLvl w:val="0"/>
        <w:rPr>
          <w:rFonts w:ascii="Tahoma" w:eastAsia="Times New Roman" w:hAnsi="Tahoma" w:cs="Tahoma"/>
          <w:color w:val="FF7608"/>
          <w:kern w:val="36"/>
          <w:sz w:val="27"/>
          <w:szCs w:val="27"/>
          <w:lang w:eastAsia="ru-RU"/>
        </w:rPr>
      </w:pPr>
      <w:r w:rsidRPr="00A3210F">
        <w:rPr>
          <w:rFonts w:ascii="Tahoma" w:eastAsia="Times New Roman" w:hAnsi="Tahoma" w:cs="Tahoma"/>
          <w:color w:val="FF7608"/>
          <w:kern w:val="36"/>
          <w:sz w:val="27"/>
          <w:szCs w:val="27"/>
          <w:lang w:eastAsia="ru-RU"/>
        </w:rPr>
        <w:t>Тесты для определения готовности ребёнка к школе</w:t>
      </w:r>
    </w:p>
    <w:p w:rsidR="00A3210F" w:rsidRPr="00A3210F" w:rsidRDefault="00A3210F" w:rsidP="00A3210F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 xml:space="preserve">По нормам возрастной психологии готовность ребёнка к школе формируется между шестым и седьмым годами жизни. Но у каждого – индивидуальный темп развития. Поэтому решение о том, станет ли ребёнок в этом году первоклассником, родителям следует принимать вместе со специалистами – педагогами и </w:t>
      </w:r>
      <w:proofErr w:type="gramStart"/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психологами,–</w:t>
      </w:r>
      <w:proofErr w:type="gramEnd"/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 xml:space="preserve"> ориентируясь, в первую очередь, на особенности развития малыша.</w:t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Предлагаем тесты, которые чаще всего используют школьные психологи для проверки степени готовности детей к школе. Обратите внимание – эти задания дают лишь общую картину развития ребёнка. За более подробной информацией обращайтесь к специалистам.</w:t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Приготовьте листы чистой белой бумаги без линий и клеточек. Во время выполнения ребёнком всех трёх заданий обратите внимание на то, какой рукой он работает; вертится ли на месте; теряет ли карандаш, а потом ищет его долго под столом; начал рисовать в том месте, где вы ему показали или просто обводит контур образца; желает ли убедиться, что рисует хорошо. Это даст возможность понять, какие трудности вас и его ожидают с началом обучения.</w:t>
      </w:r>
    </w:p>
    <w:p w:rsidR="00A3210F" w:rsidRPr="00A3210F" w:rsidRDefault="00A3210F" w:rsidP="00A3210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FF7608"/>
          <w:sz w:val="21"/>
          <w:szCs w:val="21"/>
          <w:lang w:eastAsia="ru-RU"/>
        </w:rPr>
      </w:pPr>
      <w:r w:rsidRPr="00A3210F">
        <w:rPr>
          <w:rFonts w:ascii="Tahoma" w:eastAsia="Times New Roman" w:hAnsi="Tahoma" w:cs="Tahoma"/>
          <w:color w:val="FF7608"/>
          <w:sz w:val="21"/>
          <w:szCs w:val="21"/>
          <w:lang w:eastAsia="ru-RU"/>
        </w:rPr>
        <w:t>ТЕСТ № 1. Рисуем мужскую фигуру</w:t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Современными исследованиями доказана связь художественной деятельности детей с общем уровнем их психического развития. Существует закономерность: с возрастом ребёнка его рисунок обогащается новыми деталями. Если в 3,5 года малыш вместо человечков изображает «</w:t>
      </w:r>
      <w:proofErr w:type="spellStart"/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головоножек</w:t>
      </w:r>
      <w:proofErr w:type="spellEnd"/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», то к 7 годам, как правило, в изображении человека уже вырисовываются все части тела.</w:t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Попросите ребёнка нарисовать человека так, как он сможет. Старайтесь не давать никаких дополнительных разъяснений, не помогать и не обращать его внимание на ошибки и недостатки. На вопросы ребёнка отвечайте: «Рисуй как получится!»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Оценивание результатов</w:t>
      </w:r>
    </w:p>
    <w:p w:rsidR="00A3210F" w:rsidRPr="00A3210F" w:rsidRDefault="00A3210F" w:rsidP="00A3210F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noProof/>
          <w:color w:val="4E4E4E"/>
          <w:sz w:val="20"/>
          <w:szCs w:val="20"/>
          <w:lang w:eastAsia="ru-RU"/>
        </w:rPr>
        <w:drawing>
          <wp:inline distT="0" distB="0" distL="0" distR="0" wp14:anchorId="3A1FD19D" wp14:editId="6D6F0007">
            <wp:extent cx="3848100" cy="1828800"/>
            <wp:effectExtent l="0" t="0" r="0" b="0"/>
            <wp:docPr id="1" name="Рисунок 1" descr="Тесты для определения готовности ребё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ы для определения готовности ребё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1 балл.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У нарисованной фигуры есть, туловище, конечности. Голова не больше, чем туловище и соединена с ним шеей. На голове есть волосы (возможно, под головным убором). Есть уши, глаза, нос, рот. На руках – кисти с пятью пальцами. Ноги внизу «согнуты» (есть ступни). На фигуре – мужская одежда и нарисована она как одно целое, а не составлена из отдельных частей. На рисунке видно, что ноги и руки растут из туловища, а не крепятся к нему. При таком способе рисования, которое называют синтетическим (контурным), фигуру можно обвести одним контуром, не отрывая карандаш от бумаги.</w:t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Более примитивный (аналитический) способ предусматривает изображение отдельно каждой составной части фигуры. Например, сначала рисуется туловище, а потом к нему крепятся руки и ноги.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2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Выполнение всех требований на 1 балл, кроме синтетического способа рисования. Три детали, которые отсутствуют (шея, волосы, один палец руки), можно не учитывать, если фигура нарисована синтетическим способом.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3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У фигуры есть голова, туловище, конечности. Руки и ноги нарисованы двумя линиями (объёмные). Допускается отсутствие шеи, волос, ушей, одежды, пальцев, ступней.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4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Примитивный рисунок с головой и туловищем. Конечности (достаточно одной пары) нарисованы только одной линией.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5 баллов.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Отсутствует чёткое изображение тела («</w:t>
      </w:r>
      <w:proofErr w:type="spellStart"/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головоножка</w:t>
      </w:r>
      <w:proofErr w:type="spellEnd"/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») или обеих пар конечностей. Каракули.</w:t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lastRenderedPageBreak/>
        <w:t>Следующие две задания характеризуют ребёнка с точки зрения общего психического уровня, развития мелкой моторики рук, координации зрения и движения, умения выполнять работу по образцу, выявляют степень развития силы воли.</w:t>
      </w:r>
    </w:p>
    <w:p w:rsidR="00A3210F" w:rsidRPr="00A3210F" w:rsidRDefault="00A3210F" w:rsidP="00A3210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FF7608"/>
          <w:sz w:val="21"/>
          <w:szCs w:val="21"/>
          <w:lang w:eastAsia="ru-RU"/>
        </w:rPr>
      </w:pPr>
      <w:r w:rsidRPr="00A3210F">
        <w:rPr>
          <w:rFonts w:ascii="Tahoma" w:eastAsia="Times New Roman" w:hAnsi="Tahoma" w:cs="Tahoma"/>
          <w:color w:val="FF7608"/>
          <w:sz w:val="21"/>
          <w:szCs w:val="21"/>
          <w:lang w:eastAsia="ru-RU"/>
        </w:rPr>
        <w:t>ТЕСТ № 2. Копирование письменных букв</w:t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Ребёнок должен на чистом листе бумаги скопировать фразу, которая написана письменными буквами. Например: «Она читала книгу».</w:t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Скажите ребёнку: «Ты ещё не умеешь писать, но попробуй, может, у тебя получится так же». Если ребёнок знает письменные буквы, предложите ему скопировать фразу из английских слов.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Оценивание результатов</w:t>
      </w:r>
    </w:p>
    <w:p w:rsidR="00A3210F" w:rsidRPr="00A3210F" w:rsidRDefault="00A3210F" w:rsidP="00A3210F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noProof/>
          <w:color w:val="4E4E4E"/>
          <w:sz w:val="20"/>
          <w:szCs w:val="20"/>
          <w:lang w:eastAsia="ru-RU"/>
        </w:rPr>
        <w:drawing>
          <wp:inline distT="0" distB="0" distL="0" distR="0" wp14:anchorId="71B95151" wp14:editId="57F1961C">
            <wp:extent cx="4762500" cy="2619375"/>
            <wp:effectExtent l="0" t="0" r="0" b="9525"/>
            <wp:docPr id="2" name="Рисунок 2" descr="Тесты для определения готовности ребё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ы для определения готовности ребёнка к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1 балл.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Образец скопирован хорошо и разборчиво. Копия превышает размер образца не более, чем в два раза. Первая буква по высоте соответствует прописной букве. Буквы чётко связаны в три слова. Скопированная фраза отклоняется от горизонтальной линии не более чем на 30 градусов.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2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Образец скопирован разборчиво. Размер букв и соблюдение горизонтальной линии не учитываются.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3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Очевидна разбивка на три части. Разборчиво написаны хотя бы четыре буквы.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4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С образцом совпадают хотя бы две буквы. Воспроизведённая копия образовывает строку.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5 баллов.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Каракули.</w:t>
      </w:r>
    </w:p>
    <w:p w:rsidR="00A3210F" w:rsidRPr="00A3210F" w:rsidRDefault="00A3210F" w:rsidP="00A3210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FF7608"/>
          <w:sz w:val="21"/>
          <w:szCs w:val="21"/>
          <w:lang w:eastAsia="ru-RU"/>
        </w:rPr>
      </w:pPr>
      <w:r w:rsidRPr="00A3210F">
        <w:rPr>
          <w:rFonts w:ascii="Tahoma" w:eastAsia="Times New Roman" w:hAnsi="Tahoma" w:cs="Tahoma"/>
          <w:color w:val="FF7608"/>
          <w:sz w:val="21"/>
          <w:szCs w:val="21"/>
          <w:lang w:eastAsia="ru-RU"/>
        </w:rPr>
        <w:t>Тест № 3. Срисовывание точек</w:t>
      </w:r>
    </w:p>
    <w:p w:rsidR="00A3210F" w:rsidRPr="00A3210F" w:rsidRDefault="00A3210F" w:rsidP="00A3210F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noProof/>
          <w:color w:val="4E4E4E"/>
          <w:sz w:val="20"/>
          <w:szCs w:val="20"/>
          <w:lang w:eastAsia="ru-RU"/>
        </w:rPr>
        <w:drawing>
          <wp:inline distT="0" distB="0" distL="0" distR="0" wp14:anchorId="6D719618" wp14:editId="1021E6C7">
            <wp:extent cx="1905000" cy="1905000"/>
            <wp:effectExtent l="0" t="0" r="0" b="0"/>
            <wp:docPr id="3" name="Рисунок 3" descr="Тесты для определения готовности ребё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ы для определения готовности ребёнка к шк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0F" w:rsidRPr="00A3210F" w:rsidRDefault="00A3210F" w:rsidP="00A3210F">
      <w:pPr>
        <w:shd w:val="clear" w:color="auto" w:fill="FFFFFF"/>
        <w:spacing w:before="60" w:after="105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Скажите ребёнку: «Взгляни на точки. Попробуй рядом нарисовать так же». При этом покажите, где именно нужно рисовать.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Оценивание результатов</w:t>
      </w:r>
    </w:p>
    <w:p w:rsidR="00A3210F" w:rsidRPr="00A3210F" w:rsidRDefault="00A3210F" w:rsidP="00A3210F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noProof/>
          <w:color w:val="4E4E4E"/>
          <w:sz w:val="20"/>
          <w:szCs w:val="20"/>
          <w:lang w:eastAsia="ru-RU"/>
        </w:rPr>
        <w:lastRenderedPageBreak/>
        <w:drawing>
          <wp:inline distT="0" distB="0" distL="0" distR="0" wp14:anchorId="399818B8" wp14:editId="7698ADE8">
            <wp:extent cx="4762500" cy="1857375"/>
            <wp:effectExtent l="0" t="0" r="0" b="9525"/>
            <wp:docPr id="4" name="Рисунок 4" descr="Тести для визначення готовності дитини до шк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и для визначення готовності дитини до шко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1 балл.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Почти совершенное копирование образца. Допускается незначительное отклонение одной точки от строки или колонки. Копия может быть меньше или превышать размеры образца не более, чем в два раза. Точки расположены параллельно.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2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Количество и расположение точек соответствует образцу. Допускается отклонение не более трёх точек на половину ширины зазора между строкой или колонкой.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3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Рисунок в целом соответствует образцу, не превышая его по ширине и высоте более чем в два раза. Количество точек может быть не соблюдено, но их количество – не более 20 и не менее 7. Возможен любой поворот. Даже на 180 градусов.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4 балла.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Контур рисунка не соответствует образцу, но всё же состоит из точек. Размеры образца и количество точек не учитываются. Другие формы, например линии, не допускаются.</w:t>
      </w:r>
    </w:p>
    <w:p w:rsidR="00A3210F" w:rsidRPr="00A3210F" w:rsidRDefault="00A3210F" w:rsidP="00A3210F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b/>
          <w:bCs/>
          <w:color w:val="4E4E4E"/>
          <w:sz w:val="20"/>
          <w:szCs w:val="20"/>
          <w:u w:val="single"/>
          <w:lang w:eastAsia="ru-RU"/>
        </w:rPr>
        <w:t>5 баллов.</w:t>
      </w: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Каракули.</w:t>
      </w:r>
    </w:p>
    <w:p w:rsidR="00A3210F" w:rsidRPr="00A3210F" w:rsidRDefault="00A3210F" w:rsidP="00A3210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FF7608"/>
          <w:sz w:val="21"/>
          <w:szCs w:val="21"/>
          <w:lang w:eastAsia="ru-RU"/>
        </w:rPr>
      </w:pPr>
      <w:r w:rsidRPr="00A3210F">
        <w:rPr>
          <w:rFonts w:ascii="Tahoma" w:eastAsia="Times New Roman" w:hAnsi="Tahoma" w:cs="Tahoma"/>
          <w:color w:val="FF7608"/>
          <w:sz w:val="21"/>
          <w:szCs w:val="21"/>
          <w:lang w:eastAsia="ru-RU"/>
        </w:rPr>
        <w:t>Анализ результатов.</w:t>
      </w:r>
    </w:p>
    <w:p w:rsidR="00A3210F" w:rsidRPr="00A3210F" w:rsidRDefault="00A3210F" w:rsidP="00A3210F">
      <w:pPr>
        <w:numPr>
          <w:ilvl w:val="0"/>
          <w:numId w:val="1"/>
        </w:numPr>
        <w:shd w:val="clear" w:color="auto" w:fill="FFFFFF"/>
        <w:spacing w:after="0" w:line="240" w:lineRule="atLeast"/>
        <w:ind w:left="600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Посчитайте баллы, которые ребёнок набрал за три теста. Если от 3 до 6 баллов – он готов к школе. (Высокий уровень готовности.)</w:t>
      </w:r>
    </w:p>
    <w:p w:rsidR="00A3210F" w:rsidRPr="00A3210F" w:rsidRDefault="00A3210F" w:rsidP="00A3210F">
      <w:pPr>
        <w:numPr>
          <w:ilvl w:val="0"/>
          <w:numId w:val="1"/>
        </w:numPr>
        <w:shd w:val="clear" w:color="auto" w:fill="FFFFFF"/>
        <w:spacing w:after="0" w:line="240" w:lineRule="atLeast"/>
        <w:ind w:left="600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7–9 баллов, к тому же эти баллы равномерно распределены между всеми </w:t>
      </w:r>
      <w:proofErr w:type="gramStart"/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заданиями,–</w:t>
      </w:r>
      <w:proofErr w:type="gramEnd"/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как правило, такие дети также готовы к обучению. (Средний уровень готовности.)</w:t>
      </w:r>
    </w:p>
    <w:p w:rsidR="00A3210F" w:rsidRPr="00A3210F" w:rsidRDefault="00A3210F" w:rsidP="00A3210F">
      <w:pPr>
        <w:numPr>
          <w:ilvl w:val="0"/>
          <w:numId w:val="1"/>
        </w:numPr>
        <w:shd w:val="clear" w:color="auto" w:fill="FFFFFF"/>
        <w:spacing w:after="0" w:line="240" w:lineRule="atLeast"/>
        <w:ind w:left="600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же в суммарный балл входят низкие оценки (например, общий балл – 9, и он состоит из 2 баллов за первое задание, 3 – за второе и 4 – за третье), то желательно провести более подробное исследование, посоветоваться со специалистами, чтобы определить, готов ли ребёнок стать школьником.</w:t>
      </w:r>
    </w:p>
    <w:p w:rsidR="00A3210F" w:rsidRPr="00A3210F" w:rsidRDefault="00A3210F" w:rsidP="00A3210F">
      <w:pPr>
        <w:numPr>
          <w:ilvl w:val="0"/>
          <w:numId w:val="1"/>
        </w:numPr>
        <w:shd w:val="clear" w:color="auto" w:fill="FFFFFF"/>
        <w:spacing w:after="0" w:line="240" w:lineRule="atLeast"/>
        <w:ind w:left="600"/>
        <w:jc w:val="both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A3210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Для детей, которые набрали 10–15 баллов, дополнительное исследование обязательно необходимо. Скорее всего, им ещё рано идти в школу. (Самое низкое деление среднего уровня готовности – 10–11 баллов. 12–15 баллов – готовность ниже нормы.)</w:t>
      </w:r>
    </w:p>
    <w:p w:rsidR="00715875" w:rsidRDefault="00715875">
      <w:bookmarkStart w:id="0" w:name="_GoBack"/>
      <w:bookmarkEnd w:id="0"/>
    </w:p>
    <w:sectPr w:rsidR="0071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117"/>
    <w:multiLevelType w:val="multilevel"/>
    <w:tmpl w:val="5E24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F"/>
    <w:rsid w:val="00715875"/>
    <w:rsid w:val="00A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1EB4-70C2-41FC-A9C3-AA49C20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2015-06-08T19:31:00Z</dcterms:created>
  <dcterms:modified xsi:type="dcterms:W3CDTF">2015-06-08T19:32:00Z</dcterms:modified>
</cp:coreProperties>
</file>